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E7" w:rsidRPr="00444046" w:rsidRDefault="008B75E7" w:rsidP="008B75E7">
      <w:pPr>
        <w:pStyle w:val="p0"/>
        <w:spacing w:line="560" w:lineRule="exact"/>
        <w:ind w:firstLineChars="200" w:firstLine="31680"/>
        <w:jc w:val="center"/>
        <w:rPr>
          <w:rFonts w:ascii="方正小标宋简体" w:eastAsia="方正小标宋简体" w:hAnsi="黑体" w:cs="Calibri"/>
          <w:color w:val="000000"/>
          <w:sz w:val="36"/>
          <w:szCs w:val="36"/>
        </w:rPr>
      </w:pPr>
      <w:r w:rsidRPr="00444046">
        <w:rPr>
          <w:rFonts w:ascii="方正小标宋简体" w:eastAsia="方正小标宋简体" w:hAnsi="黑体" w:cs="方正小标宋简体" w:hint="eastAsia"/>
          <w:color w:val="000000"/>
          <w:sz w:val="36"/>
          <w:szCs w:val="36"/>
        </w:rPr>
        <w:t>西北大学公务卡管理细则</w:t>
      </w:r>
    </w:p>
    <w:p w:rsidR="008B75E7" w:rsidRPr="00444046" w:rsidRDefault="008B75E7" w:rsidP="00444046">
      <w:pPr>
        <w:adjustRightInd w:val="0"/>
        <w:snapToGrid w:val="0"/>
        <w:spacing w:afterLines="50" w:line="560" w:lineRule="exact"/>
        <w:ind w:firstLineChars="200" w:firstLine="31680"/>
        <w:jc w:val="center"/>
        <w:rPr>
          <w:rFonts w:ascii="仿宋_GB2312" w:eastAsia="仿宋_GB2312"/>
          <w:sz w:val="24"/>
          <w:szCs w:val="24"/>
        </w:rPr>
      </w:pPr>
      <w:r w:rsidRPr="00444046">
        <w:rPr>
          <w:rFonts w:ascii="仿宋_GB2312" w:eastAsia="仿宋_GB2312" w:hAnsi="宋体" w:cs="仿宋_GB2312" w:hint="eastAsia"/>
          <w:sz w:val="24"/>
          <w:szCs w:val="24"/>
        </w:rPr>
        <w:t>西大财〔</w:t>
      </w:r>
      <w:r w:rsidRPr="00444046">
        <w:rPr>
          <w:rFonts w:ascii="仿宋_GB2312" w:eastAsia="仿宋_GB2312" w:hAnsi="宋体" w:cs="仿宋_GB2312"/>
          <w:sz w:val="24"/>
          <w:szCs w:val="24"/>
        </w:rPr>
        <w:t>2012</w:t>
      </w:r>
      <w:r w:rsidRPr="00444046">
        <w:rPr>
          <w:rFonts w:ascii="仿宋_GB2312" w:eastAsia="仿宋_GB2312" w:hAnsi="宋体" w:cs="仿宋_GB2312" w:hint="eastAsia"/>
          <w:sz w:val="24"/>
          <w:szCs w:val="24"/>
        </w:rPr>
        <w:t>〕</w:t>
      </w:r>
      <w:r w:rsidRPr="00444046">
        <w:rPr>
          <w:rFonts w:ascii="仿宋_GB2312" w:eastAsia="仿宋_GB2312" w:hAnsi="宋体" w:cs="仿宋_GB2312"/>
          <w:sz w:val="24"/>
          <w:szCs w:val="24"/>
        </w:rPr>
        <w:t>4</w:t>
      </w:r>
      <w:r w:rsidRPr="00444046">
        <w:rPr>
          <w:rFonts w:ascii="仿宋_GB2312" w:eastAsia="仿宋_GB2312" w:hAnsi="宋体" w:cs="仿宋_GB2312" w:hint="eastAsia"/>
          <w:sz w:val="24"/>
          <w:szCs w:val="24"/>
        </w:rPr>
        <w:t>号</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为了规范财务结算管理，提高公务支出透明度，减少现金支付结算，提高支付透明度，控制现金流量与现金风险，提高我校财务管理水平，进一步完善国库集中收付制度，根据陕西省人民政府的统一部署和《陕西省省级财政国库</w:t>
      </w:r>
      <w:bookmarkStart w:id="0" w:name="_GoBack"/>
      <w:bookmarkEnd w:id="0"/>
      <w:r w:rsidRPr="00444046">
        <w:rPr>
          <w:rFonts w:ascii="仿宋_GB2312" w:eastAsia="仿宋_GB2312" w:hAnsi="宋体" w:cs="仿宋_GB2312" w:hint="eastAsia"/>
          <w:color w:val="000000"/>
          <w:sz w:val="32"/>
          <w:szCs w:val="32"/>
        </w:rPr>
        <w:t>管理制度改革试点方案》</w:t>
      </w:r>
      <w:r w:rsidRPr="00444046">
        <w:rPr>
          <w:rFonts w:ascii="仿宋_GB2312" w:eastAsia="仿宋_GB2312" w:hAnsi="宋体" w:cs="仿宋_GB2312"/>
          <w:color w:val="000000"/>
          <w:sz w:val="32"/>
          <w:szCs w:val="32"/>
        </w:rPr>
        <w:t>(</w:t>
      </w:r>
      <w:r w:rsidRPr="00444046">
        <w:rPr>
          <w:rFonts w:ascii="仿宋_GB2312" w:eastAsia="仿宋_GB2312" w:hAnsi="宋体" w:cs="仿宋_GB2312" w:hint="eastAsia"/>
          <w:color w:val="000000"/>
          <w:sz w:val="32"/>
          <w:szCs w:val="32"/>
        </w:rPr>
        <w:t>陕政办发〔</w:t>
      </w:r>
      <w:r w:rsidRPr="00444046">
        <w:rPr>
          <w:rFonts w:ascii="仿宋_GB2312" w:eastAsia="仿宋_GB2312" w:hAnsi="宋体" w:cs="仿宋_GB2312"/>
          <w:color w:val="000000"/>
          <w:sz w:val="32"/>
          <w:szCs w:val="32"/>
        </w:rPr>
        <w:t>2002</w:t>
      </w:r>
      <w:r w:rsidRPr="00444046">
        <w:rPr>
          <w:rFonts w:ascii="仿宋_GB2312" w:eastAsia="仿宋_GB2312" w:hAnsi="宋体" w:cs="仿宋_GB2312" w:hint="eastAsia"/>
          <w:color w:val="000000"/>
          <w:sz w:val="32"/>
          <w:szCs w:val="32"/>
        </w:rPr>
        <w:t>〕</w:t>
      </w:r>
      <w:r w:rsidRPr="00444046">
        <w:rPr>
          <w:rFonts w:ascii="仿宋_GB2312" w:eastAsia="仿宋_GB2312" w:hAnsi="宋体" w:cs="仿宋_GB2312"/>
          <w:color w:val="000000"/>
          <w:sz w:val="32"/>
          <w:szCs w:val="32"/>
        </w:rPr>
        <w:t>102</w:t>
      </w:r>
      <w:r w:rsidRPr="00444046">
        <w:rPr>
          <w:rFonts w:ascii="仿宋_GB2312" w:eastAsia="仿宋_GB2312" w:hAnsi="宋体" w:cs="仿宋_GB2312" w:hint="eastAsia"/>
          <w:color w:val="000000"/>
          <w:sz w:val="32"/>
          <w:szCs w:val="32"/>
        </w:rPr>
        <w:t>号</w:t>
      </w:r>
      <w:r w:rsidRPr="00444046">
        <w:rPr>
          <w:rFonts w:ascii="仿宋_GB2312" w:eastAsia="仿宋_GB2312" w:hAnsi="宋体" w:cs="仿宋_GB2312"/>
          <w:color w:val="000000"/>
          <w:sz w:val="32"/>
          <w:szCs w:val="32"/>
        </w:rPr>
        <w:t>)</w:t>
      </w:r>
      <w:r w:rsidRPr="00444046">
        <w:rPr>
          <w:rFonts w:ascii="仿宋_GB2312" w:eastAsia="仿宋_GB2312" w:hAnsi="宋体" w:cs="仿宋_GB2312" w:hint="eastAsia"/>
          <w:color w:val="000000"/>
          <w:sz w:val="32"/>
          <w:szCs w:val="32"/>
        </w:rPr>
        <w:t>、《陕西省省级预算单位公务卡管理暂行办法》（陕财办库〔</w:t>
      </w:r>
      <w:r w:rsidRPr="00444046">
        <w:rPr>
          <w:rFonts w:ascii="仿宋_GB2312" w:eastAsia="仿宋_GB2312" w:hAnsi="宋体" w:cs="仿宋_GB2312"/>
          <w:color w:val="000000"/>
          <w:sz w:val="32"/>
          <w:szCs w:val="32"/>
        </w:rPr>
        <w:t>2007</w:t>
      </w:r>
      <w:r w:rsidRPr="00444046">
        <w:rPr>
          <w:rFonts w:ascii="仿宋_GB2312" w:eastAsia="仿宋_GB2312" w:hAnsi="宋体" w:cs="仿宋_GB2312" w:hint="eastAsia"/>
          <w:color w:val="000000"/>
          <w:sz w:val="32"/>
          <w:szCs w:val="32"/>
        </w:rPr>
        <w:t>〕</w:t>
      </w:r>
      <w:r w:rsidRPr="00444046">
        <w:rPr>
          <w:rFonts w:ascii="仿宋_GB2312" w:eastAsia="仿宋_GB2312" w:hAnsi="宋体" w:cs="仿宋_GB2312"/>
          <w:color w:val="000000"/>
          <w:sz w:val="32"/>
          <w:szCs w:val="32"/>
        </w:rPr>
        <w:t>34</w:t>
      </w:r>
      <w:r w:rsidRPr="00444046">
        <w:rPr>
          <w:rFonts w:ascii="仿宋_GB2312" w:eastAsia="仿宋_GB2312" w:hAnsi="宋体" w:cs="仿宋_GB2312" w:hint="eastAsia"/>
          <w:color w:val="000000"/>
          <w:sz w:val="32"/>
          <w:szCs w:val="32"/>
        </w:rPr>
        <w:t>号）、《关于印发</w:t>
      </w:r>
      <w:r w:rsidRPr="00444046">
        <w:rPr>
          <w:rFonts w:ascii="仿宋_GB2312" w:eastAsia="仿宋_GB2312" w:hAnsi="宋体" w:cs="仿宋_GB2312"/>
          <w:color w:val="000000"/>
          <w:sz w:val="32"/>
          <w:szCs w:val="32"/>
        </w:rPr>
        <w:t>&lt;</w:t>
      </w:r>
      <w:r w:rsidRPr="00444046">
        <w:rPr>
          <w:rFonts w:ascii="仿宋_GB2312" w:eastAsia="仿宋_GB2312" w:hAnsi="宋体" w:cs="仿宋_GB2312" w:hint="eastAsia"/>
          <w:color w:val="000000"/>
          <w:sz w:val="32"/>
          <w:szCs w:val="32"/>
        </w:rPr>
        <w:t>省级预算单位公务卡及现金结算暂行办法</w:t>
      </w:r>
      <w:r w:rsidRPr="00444046">
        <w:rPr>
          <w:rFonts w:ascii="仿宋_GB2312" w:eastAsia="仿宋_GB2312" w:hAnsi="宋体" w:cs="仿宋_GB2312"/>
          <w:color w:val="000000"/>
          <w:sz w:val="32"/>
          <w:szCs w:val="32"/>
        </w:rPr>
        <w:t>&gt;</w:t>
      </w:r>
      <w:r w:rsidRPr="00444046">
        <w:rPr>
          <w:rFonts w:ascii="仿宋_GB2312" w:eastAsia="仿宋_GB2312" w:hAnsi="宋体" w:cs="仿宋_GB2312" w:hint="eastAsia"/>
          <w:color w:val="000000"/>
          <w:sz w:val="32"/>
          <w:szCs w:val="32"/>
        </w:rPr>
        <w:t>的通知》（陕财办库〔</w:t>
      </w:r>
      <w:r w:rsidRPr="00444046">
        <w:rPr>
          <w:rFonts w:ascii="仿宋_GB2312" w:eastAsia="仿宋_GB2312" w:hAnsi="宋体" w:cs="仿宋_GB2312"/>
          <w:color w:val="000000"/>
          <w:sz w:val="32"/>
          <w:szCs w:val="32"/>
        </w:rPr>
        <w:t>2008</w:t>
      </w:r>
      <w:r w:rsidRPr="00444046">
        <w:rPr>
          <w:rFonts w:ascii="仿宋_GB2312" w:eastAsia="仿宋_GB2312" w:hAnsi="宋体" w:cs="仿宋_GB2312" w:hint="eastAsia"/>
          <w:color w:val="000000"/>
          <w:sz w:val="32"/>
          <w:szCs w:val="32"/>
        </w:rPr>
        <w:t>〕</w:t>
      </w:r>
      <w:r w:rsidRPr="00444046">
        <w:rPr>
          <w:rFonts w:ascii="仿宋_GB2312" w:eastAsia="仿宋_GB2312" w:hAnsi="宋体" w:cs="仿宋_GB2312"/>
          <w:color w:val="000000"/>
          <w:sz w:val="32"/>
          <w:szCs w:val="32"/>
        </w:rPr>
        <w:t>32</w:t>
      </w:r>
      <w:r w:rsidRPr="00444046">
        <w:rPr>
          <w:rFonts w:ascii="仿宋_GB2312" w:eastAsia="仿宋_GB2312" w:hAnsi="宋体" w:cs="仿宋_GB2312" w:hint="eastAsia"/>
          <w:color w:val="000000"/>
          <w:sz w:val="32"/>
          <w:szCs w:val="32"/>
        </w:rPr>
        <w:t>号）、《关于进一步推进我省公务卡制度改革的实施意见》（陕财办库〔</w:t>
      </w:r>
      <w:r w:rsidRPr="00444046">
        <w:rPr>
          <w:rFonts w:ascii="仿宋_GB2312" w:eastAsia="仿宋_GB2312" w:hAnsi="宋体" w:cs="仿宋_GB2312"/>
          <w:color w:val="000000"/>
          <w:sz w:val="32"/>
          <w:szCs w:val="32"/>
        </w:rPr>
        <w:t>2011</w:t>
      </w:r>
      <w:r w:rsidRPr="00444046">
        <w:rPr>
          <w:rFonts w:ascii="仿宋_GB2312" w:eastAsia="仿宋_GB2312" w:hAnsi="宋体" w:cs="仿宋_GB2312" w:hint="eastAsia"/>
          <w:color w:val="000000"/>
          <w:sz w:val="32"/>
          <w:szCs w:val="32"/>
        </w:rPr>
        <w:t>〕</w:t>
      </w:r>
      <w:r w:rsidRPr="00444046">
        <w:rPr>
          <w:rFonts w:ascii="仿宋_GB2312" w:eastAsia="仿宋_GB2312" w:hAnsi="宋体" w:cs="仿宋_GB2312"/>
          <w:color w:val="000000"/>
          <w:sz w:val="32"/>
          <w:szCs w:val="32"/>
        </w:rPr>
        <w:t>12</w:t>
      </w:r>
      <w:r w:rsidRPr="00444046">
        <w:rPr>
          <w:rFonts w:ascii="仿宋_GB2312" w:eastAsia="仿宋_GB2312" w:hAnsi="宋体" w:cs="仿宋_GB2312" w:hint="eastAsia"/>
          <w:color w:val="000000"/>
          <w:sz w:val="32"/>
          <w:szCs w:val="32"/>
        </w:rPr>
        <w:t>号）有关文件精神</w:t>
      </w:r>
      <w:r w:rsidRPr="00444046">
        <w:rPr>
          <w:rFonts w:ascii="仿宋_GB2312" w:eastAsia="仿宋_GB2312" w:hAnsi="宋体" w:cs="仿宋_GB2312"/>
          <w:color w:val="000000"/>
          <w:sz w:val="32"/>
          <w:szCs w:val="32"/>
        </w:rPr>
        <w:t>,</w:t>
      </w:r>
      <w:r w:rsidRPr="00444046">
        <w:rPr>
          <w:rFonts w:ascii="仿宋_GB2312" w:eastAsia="仿宋_GB2312" w:hAnsi="宋体" w:cs="仿宋_GB2312" w:hint="eastAsia"/>
          <w:color w:val="000000"/>
          <w:sz w:val="32"/>
          <w:szCs w:val="32"/>
        </w:rPr>
        <w:t>结合我校财务管理和资金结算实际情况，制定本管理细则。</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第一条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公务卡是指预算单位工作人员持有的，主要用于日常公务支出和财务报销业务的银行信用卡。</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公务卡结算是指预算单位在职职工在日常公务支出中先使用银行信用卡刷卡消费，于规定的期限内按现行财务制度审核后，通过国库集中支付系统财政授权支付方式，直接将报销费用转入个人银行信用卡上还款的结算方式。</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第二条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开卡行提供免费开卡服务，免收年费、免担保、免开存款账户、到期免费换卡。</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sz w:val="32"/>
          <w:szCs w:val="32"/>
        </w:rPr>
        <w:t>第三条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凡是原使用现金结算的公务支出，应优先在具备刷卡条件的商户进行消费，并使用公务卡刷卡结算。</w:t>
      </w:r>
      <w:r w:rsidRPr="00444046">
        <w:rPr>
          <w:rFonts w:ascii="仿宋_GB2312" w:eastAsia="仿宋_GB2312" w:hAnsi="宋体" w:cs="仿宋_GB2312" w:hint="eastAsia"/>
          <w:color w:val="000000"/>
          <w:sz w:val="32"/>
          <w:szCs w:val="32"/>
        </w:rPr>
        <w:t>财政授权支付业务中原使用现金结算的公用经费支出，包括支付办公费、印刷费、差旅费、会议费、招待费、交通费、劳务费、交通费等有关商品和服务的零星购买支出费用，应当优先使用公务卡结算，不断减少现金结算。教职工在公务活动中垫付的现金以及出差补助等其他现金支出，也可通过公务卡报销还款。</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基本建设、固定资产购置及基础设施维修等财务管理工作依据相应管理制度执行，不作为公务卡结算范围。</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第四条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目前确实不能采用银行转账结算和公务卡刷卡结算的公务消费支出，可以使用现金支付：</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一、支付给个人的一次性劳务报酬；</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二、颁发给个人的科学技术、文化艺术、体育等一次性奖金；</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三、对困难职工、病患职工的慰问支出及其他工会支出；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四、拥军优属的慰问支出；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五、各种慰问或福利支出；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六、抚恤金、丧葬补助费等支出；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七、学生助学金、奖学金支出；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八、政策性补贴支出；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九、突发事件应急支出；</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十、</w:t>
      </w:r>
      <w:r w:rsidRPr="00444046">
        <w:rPr>
          <w:rFonts w:ascii="仿宋_GB2312" w:eastAsia="仿宋_GB2312" w:hAnsi="宋体" w:cs="仿宋_GB2312" w:hint="eastAsia"/>
          <w:spacing w:val="-20"/>
          <w:sz w:val="32"/>
          <w:szCs w:val="32"/>
        </w:rPr>
        <w:t>其他不能采用转账和刷卡支付方式结算的商品、劳务支出</w:t>
      </w:r>
      <w:r w:rsidRPr="00444046">
        <w:rPr>
          <w:rFonts w:ascii="仿宋_GB2312" w:eastAsia="仿宋_GB2312" w:hAnsi="宋体" w:cs="仿宋_GB2312" w:hint="eastAsia"/>
          <w:sz w:val="32"/>
          <w:szCs w:val="32"/>
        </w:rPr>
        <w:t>。</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第五条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有办公费、业务费预算的院、系、处室的正处级干部及经常办理报销业务的教职工原则上应办理公务卡。公务卡按照“职工个人申请，单位审批，银行办理并与个人签订协议”的流程办理。由学校财务处统一组织办理公务卡。各单位确定开卡人员后，经单位领导签字同意后，报学校财务处，财务处汇总办卡人员名单报开卡银行，并约定时间办理、发放。</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第六条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教职工新增、调动或退休时，由个人向单位提出公务卡申领或停止使用申请，单位领导签字同意后报财务处，通知发卡行进行信息维护。</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第七条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公务卡实行“一人一卡”实名制管理。公务卡及密码均由持卡人个人保管。公务卡遗失或毁损后的补办等事项由个人自行到发卡行申请办理，并将新卡账号信息及时告知财务处。</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第八条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每张公务卡的信用额度原则上不超过</w:t>
      </w:r>
      <w:r w:rsidRPr="00444046">
        <w:rPr>
          <w:rFonts w:ascii="仿宋_GB2312" w:eastAsia="仿宋_GB2312" w:hAnsi="宋体" w:cs="仿宋_GB2312"/>
          <w:color w:val="000000"/>
          <w:sz w:val="32"/>
          <w:szCs w:val="32"/>
        </w:rPr>
        <w:t>5</w:t>
      </w:r>
      <w:r w:rsidRPr="00444046">
        <w:rPr>
          <w:rFonts w:ascii="仿宋_GB2312" w:eastAsia="仿宋_GB2312" w:hAnsi="宋体" w:cs="仿宋_GB2312" w:hint="eastAsia"/>
          <w:color w:val="000000"/>
          <w:sz w:val="32"/>
          <w:szCs w:val="32"/>
        </w:rPr>
        <w:t>万元、不少于</w:t>
      </w:r>
      <w:r w:rsidRPr="00444046">
        <w:rPr>
          <w:rFonts w:ascii="仿宋_GB2312" w:eastAsia="仿宋_GB2312" w:hAnsi="宋体" w:cs="仿宋_GB2312"/>
          <w:color w:val="000000"/>
          <w:sz w:val="32"/>
          <w:szCs w:val="32"/>
        </w:rPr>
        <w:t>2</w:t>
      </w:r>
      <w:r w:rsidRPr="00444046">
        <w:rPr>
          <w:rFonts w:ascii="仿宋_GB2312" w:eastAsia="仿宋_GB2312" w:hAnsi="宋体" w:cs="仿宋_GB2312" w:hint="eastAsia"/>
          <w:color w:val="000000"/>
          <w:sz w:val="32"/>
          <w:szCs w:val="32"/>
        </w:rPr>
        <w:t>万元。持卡人在规定的信用额度和免息还款期内先支付，后还款。</w:t>
      </w:r>
      <w:r w:rsidRPr="00444046">
        <w:rPr>
          <w:rFonts w:ascii="仿宋_GB2312" w:eastAsia="仿宋_GB2312" w:hAnsi="宋体" w:cs="仿宋_GB2312" w:hint="eastAsia"/>
          <w:sz w:val="32"/>
          <w:szCs w:val="32"/>
        </w:rPr>
        <w:t>原则上同一持卡人信用消费单笔不得超过</w:t>
      </w:r>
      <w:r w:rsidRPr="00444046">
        <w:rPr>
          <w:rFonts w:ascii="仿宋_GB2312" w:eastAsia="仿宋_GB2312" w:hAnsi="宋体" w:cs="仿宋_GB2312"/>
          <w:sz w:val="32"/>
          <w:szCs w:val="32"/>
        </w:rPr>
        <w:t>2</w:t>
      </w:r>
      <w:r w:rsidRPr="00444046">
        <w:rPr>
          <w:rFonts w:ascii="仿宋_GB2312" w:eastAsia="仿宋_GB2312" w:hAnsi="宋体" w:cs="仿宋_GB2312" w:hint="eastAsia"/>
          <w:sz w:val="32"/>
          <w:szCs w:val="32"/>
        </w:rPr>
        <w:t>万元，月透支余额不得超过</w:t>
      </w:r>
      <w:r w:rsidRPr="00444046">
        <w:rPr>
          <w:rFonts w:ascii="仿宋_GB2312" w:eastAsia="仿宋_GB2312" w:hAnsi="宋体" w:cs="仿宋_GB2312"/>
          <w:sz w:val="32"/>
          <w:szCs w:val="32"/>
        </w:rPr>
        <w:t>5</w:t>
      </w:r>
      <w:r w:rsidRPr="00444046">
        <w:rPr>
          <w:rFonts w:ascii="仿宋_GB2312" w:eastAsia="仿宋_GB2312" w:hAnsi="宋体" w:cs="仿宋_GB2312" w:hint="eastAsia"/>
          <w:sz w:val="32"/>
          <w:szCs w:val="32"/>
        </w:rPr>
        <w:t>万元。</w:t>
      </w:r>
      <w:r w:rsidRPr="00444046">
        <w:rPr>
          <w:rFonts w:ascii="仿宋_GB2312" w:eastAsia="仿宋_GB2312" w:hAnsi="宋体" w:cs="仿宋_GB2312" w:hint="eastAsia"/>
          <w:color w:val="000000"/>
          <w:sz w:val="32"/>
          <w:szCs w:val="32"/>
        </w:rPr>
        <w:t>在特殊情况下公务卡信用额度不能满足公务支付的需要时，持卡人应通过财务处提前向发卡行提出临时增加信用额度申请，由发卡行按照有关规定办理。</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持卡人可按照银行规定使用公务卡提取现金，但不能透支现金。因透支提取现金而产生的手续费、利息等费用由持卡人自行承担。</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第九条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持卡人使用公务卡消费结算的各项支出，在财务处审核报销之前属于个人消费行为。报销时，财务处对刷卡消费票据进行审核，对符合报销规定的部分予以报销；不符合报销规定的部分，视作个人消费款项，由持卡人自行偿还。</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第十条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使用公务卡消费时，必须取得</w:t>
      </w:r>
      <w:r w:rsidRPr="00444046">
        <w:rPr>
          <w:rFonts w:ascii="仿宋_GB2312" w:eastAsia="仿宋_GB2312" w:hAnsi="宋体" w:cs="仿宋_GB2312"/>
          <w:sz w:val="32"/>
          <w:szCs w:val="32"/>
        </w:rPr>
        <w:t>POS</w:t>
      </w:r>
      <w:r w:rsidRPr="00444046">
        <w:rPr>
          <w:rFonts w:ascii="仿宋_GB2312" w:eastAsia="仿宋_GB2312" w:hAnsi="宋体" w:cs="仿宋_GB2312" w:hint="eastAsia"/>
          <w:sz w:val="32"/>
          <w:szCs w:val="32"/>
        </w:rPr>
        <w:t>机小票和正式税务发票或财政发票；发票金额合并开具的，还应取得所购商品的明细清单（非电脑打印的清单应加盖销售单位印章确认）。以上单据作为公务消费报账的必要依据，均要视作会计原始凭证管理。公务卡报销的审批与原有报销程序相同。</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第十一条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因故向供货商退货等原因导致报销资金退回公务卡的，持卡人应按照财务规定的审批手续及时将相应货款退回财务处。</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第十二条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持卡人使用公务卡消费结算各项公务支出时，需在发卡行规定的到期还款日前至少</w:t>
      </w:r>
      <w:r w:rsidRPr="00444046">
        <w:rPr>
          <w:rFonts w:ascii="仿宋_GB2312" w:eastAsia="仿宋_GB2312" w:hAnsi="宋体" w:cs="仿宋_GB2312"/>
          <w:sz w:val="32"/>
          <w:szCs w:val="32"/>
        </w:rPr>
        <w:t>5</w:t>
      </w:r>
      <w:r w:rsidRPr="00444046">
        <w:rPr>
          <w:rFonts w:ascii="仿宋_GB2312" w:eastAsia="仿宋_GB2312" w:hAnsi="宋体" w:cs="仿宋_GB2312" w:hint="eastAsia"/>
          <w:sz w:val="32"/>
          <w:szCs w:val="32"/>
        </w:rPr>
        <w:t>个工作日前往财务处报销。财务处在票据审核合格的情况下，在公务卡到期还款日三个工作日之前，将加盖财务公章的“还款汇总表”及财政授权支付指令送交零余额账户开户行，保证在到期还款日前将报销款项转入公务卡账户。</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第十三条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因特殊原因导致发卡行确实无法将资金划转到公务卡账户的，由发卡行将资金退回学校零余额账户，并及时通知财务处告知持卡人进一步核实有关信息后再予办理。</w:t>
      </w:r>
    </w:p>
    <w:p w:rsidR="008B75E7" w:rsidRPr="00444046" w:rsidRDefault="008B75E7" w:rsidP="00444046">
      <w:pPr>
        <w:pStyle w:val="p0"/>
        <w:spacing w:line="560" w:lineRule="exact"/>
        <w:ind w:firstLineChars="200" w:firstLine="31680"/>
        <w:rPr>
          <w:rFonts w:ascii="仿宋_GB2312" w:eastAsia="仿宋_GB2312" w:hAnsi="宋体" w:cs="Calibri"/>
          <w:sz w:val="32"/>
          <w:szCs w:val="32"/>
        </w:rPr>
      </w:pPr>
      <w:r w:rsidRPr="00444046">
        <w:rPr>
          <w:rFonts w:ascii="仿宋_GB2312" w:eastAsia="仿宋_GB2312" w:hAnsi="宋体" w:cs="仿宋_GB2312" w:hint="eastAsia"/>
          <w:sz w:val="32"/>
          <w:szCs w:val="32"/>
        </w:rPr>
        <w:t>第十四条</w:t>
      </w:r>
      <w:r w:rsidRPr="00444046">
        <w:rPr>
          <w:rFonts w:ascii="仿宋_GB2312" w:eastAsia="仿宋_GB2312" w:hAnsi="宋体" w:cs="仿宋_GB2312"/>
          <w:sz w:val="32"/>
          <w:szCs w:val="32"/>
        </w:rPr>
        <w:t xml:space="preserve">  </w:t>
      </w:r>
      <w:r w:rsidRPr="00444046">
        <w:rPr>
          <w:rFonts w:ascii="仿宋_GB2312" w:eastAsia="仿宋_GB2312" w:hAnsi="宋体" w:cs="仿宋_GB2312" w:hint="eastAsia"/>
          <w:sz w:val="32"/>
          <w:szCs w:val="32"/>
        </w:rPr>
        <w:t>实行公务卡结算方式后，财务处原则上不再办理除野外实习、科研经费之外的差旅、办公及公务周转等原因的临时性借款。确因工作需要，持卡人使用公务卡进行公务支出，但无法按期返回办理报销手续的，可由单位相关工作人员，办理相关借款手续，由财务处审批后，于免息还款期之前，先将资金转入公务卡，持卡人返回后应及时按照公务卡消费的流程和期限办理报销手续。</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第十五条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教职工应树立良好的信用意识，及时办理公务报销的结算事宜。公务卡主要用于公务支出的结算，也可以用于个人支付结算业务，学校不承担</w:t>
      </w:r>
      <w:r w:rsidRPr="00444046">
        <w:rPr>
          <w:rFonts w:ascii="仿宋_GB2312" w:eastAsia="仿宋_GB2312" w:hAnsi="宋体" w:cs="仿宋_GB2312" w:hint="eastAsia"/>
          <w:sz w:val="32"/>
          <w:szCs w:val="32"/>
        </w:rPr>
        <w:t>因个人报销不及时造成的罚息、滞纳金等相关费用及</w:t>
      </w:r>
      <w:r w:rsidRPr="00444046">
        <w:rPr>
          <w:rFonts w:ascii="仿宋_GB2312" w:eastAsia="仿宋_GB2312" w:hAnsi="宋体" w:cs="仿宋_GB2312" w:hint="eastAsia"/>
          <w:color w:val="000000"/>
          <w:sz w:val="32"/>
          <w:szCs w:val="32"/>
        </w:rPr>
        <w:t>使用公务卡进行私人消费导致的经济、法律等责任。</w:t>
      </w:r>
    </w:p>
    <w:p w:rsidR="008B75E7" w:rsidRPr="00444046" w:rsidRDefault="008B75E7" w:rsidP="00444046">
      <w:pPr>
        <w:pStyle w:val="p0"/>
        <w:spacing w:line="560" w:lineRule="exact"/>
        <w:ind w:firstLineChars="200" w:firstLine="31680"/>
        <w:rPr>
          <w:rFonts w:ascii="仿宋_GB2312" w:eastAsia="仿宋_GB2312" w:hAnsi="宋体" w:cs="Calibri"/>
          <w:color w:val="000000"/>
          <w:sz w:val="32"/>
          <w:szCs w:val="32"/>
        </w:rPr>
      </w:pPr>
      <w:r w:rsidRPr="00444046">
        <w:rPr>
          <w:rFonts w:ascii="仿宋_GB2312" w:eastAsia="仿宋_GB2312" w:hAnsi="宋体" w:cs="仿宋_GB2312" w:hint="eastAsia"/>
          <w:color w:val="000000"/>
          <w:sz w:val="32"/>
          <w:szCs w:val="32"/>
        </w:rPr>
        <w:t>第十六条</w:t>
      </w:r>
      <w:r w:rsidRPr="00444046">
        <w:rPr>
          <w:rFonts w:ascii="仿宋_GB2312" w:eastAsia="仿宋_GB2312" w:hAnsi="宋体" w:cs="仿宋_GB2312"/>
          <w:color w:val="000000"/>
          <w:sz w:val="32"/>
          <w:szCs w:val="32"/>
        </w:rPr>
        <w:t xml:space="preserve">  </w:t>
      </w:r>
      <w:r w:rsidRPr="00444046">
        <w:rPr>
          <w:rFonts w:ascii="仿宋_GB2312" w:eastAsia="仿宋_GB2312" w:hAnsi="宋体" w:cs="仿宋_GB2312" w:hint="eastAsia"/>
          <w:color w:val="000000"/>
          <w:sz w:val="32"/>
          <w:szCs w:val="32"/>
        </w:rPr>
        <w:t>本细则自二○一二年九月一日起施行，由财务处负责解释。</w:t>
      </w:r>
    </w:p>
    <w:sectPr w:rsidR="008B75E7" w:rsidRPr="00444046" w:rsidSect="00F663B6">
      <w:headerReference w:type="default" r:id="rId6"/>
      <w:pgSz w:w="11907" w:h="16840" w:code="9"/>
      <w:pgMar w:top="2098" w:right="1531" w:bottom="1418" w:left="1531" w:header="851" w:footer="919" w:gutter="0"/>
      <w:pgNumType w:fmt="numberInDash" w:start="1"/>
      <w:cols w:space="425"/>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5E7" w:rsidRDefault="008B75E7" w:rsidP="004E7464">
      <w:r>
        <w:separator/>
      </w:r>
    </w:p>
  </w:endnote>
  <w:endnote w:type="continuationSeparator" w:id="0">
    <w:p w:rsidR="008B75E7" w:rsidRDefault="008B75E7" w:rsidP="004E7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舒体">
    <w:panose1 w:val="00000000000000000000"/>
    <w:charset w:val="86"/>
    <w:family w:val="auto"/>
    <w:notTrueType/>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5E7" w:rsidRDefault="008B75E7" w:rsidP="004E7464">
      <w:r>
        <w:separator/>
      </w:r>
    </w:p>
  </w:footnote>
  <w:footnote w:type="continuationSeparator" w:id="0">
    <w:p w:rsidR="008B75E7" w:rsidRDefault="008B75E7" w:rsidP="004E7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E7" w:rsidRDefault="008B75E7" w:rsidP="004E7464">
    <w:pPr>
      <w:pStyle w:val="Header"/>
      <w:pBdr>
        <w:bottom w:val="none" w:sz="0" w:space="0" w:color="auto"/>
      </w:pBdr>
      <w:jc w:val="both"/>
      <w:rPr>
        <w:rFonts w:cs="Calibr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464"/>
    <w:rsid w:val="003D4FD6"/>
    <w:rsid w:val="00444046"/>
    <w:rsid w:val="004E7464"/>
    <w:rsid w:val="006215D1"/>
    <w:rsid w:val="008B75E7"/>
    <w:rsid w:val="00A22380"/>
    <w:rsid w:val="00CC4E6D"/>
    <w:rsid w:val="00F104AD"/>
    <w:rsid w:val="00F26DE5"/>
    <w:rsid w:val="00F663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6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4E7464"/>
    <w:pPr>
      <w:ind w:firstLine="420"/>
    </w:pPr>
    <w:rPr>
      <w:rFonts w:ascii="Times New Roman" w:eastAsia="仿宋_GB2312" w:hAnsi="Times New Roman" w:cs="Times New Roman"/>
      <w:sz w:val="32"/>
      <w:szCs w:val="32"/>
    </w:rPr>
  </w:style>
  <w:style w:type="paragraph" w:styleId="Footer">
    <w:name w:val="footer"/>
    <w:basedOn w:val="Normal"/>
    <w:link w:val="FooterChar"/>
    <w:uiPriority w:val="99"/>
    <w:rsid w:val="004E7464"/>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FooterChar">
    <w:name w:val="Footer Char"/>
    <w:basedOn w:val="DefaultParagraphFont"/>
    <w:link w:val="Footer"/>
    <w:uiPriority w:val="99"/>
    <w:locked/>
    <w:rsid w:val="004E7464"/>
    <w:rPr>
      <w:rFonts w:ascii="Times New Roman" w:eastAsia="仿宋_GB2312" w:hAnsi="Times New Roman" w:cs="Times New Roman"/>
      <w:sz w:val="20"/>
      <w:szCs w:val="20"/>
    </w:rPr>
  </w:style>
  <w:style w:type="character" w:styleId="PageNumber">
    <w:name w:val="page number"/>
    <w:basedOn w:val="DefaultParagraphFont"/>
    <w:uiPriority w:val="99"/>
    <w:rsid w:val="004E7464"/>
  </w:style>
  <w:style w:type="paragraph" w:styleId="Header">
    <w:name w:val="header"/>
    <w:basedOn w:val="Normal"/>
    <w:link w:val="HeaderChar"/>
    <w:uiPriority w:val="99"/>
    <w:rsid w:val="004E7464"/>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HeaderChar">
    <w:name w:val="Header Char"/>
    <w:basedOn w:val="DefaultParagraphFont"/>
    <w:link w:val="Header"/>
    <w:uiPriority w:val="99"/>
    <w:locked/>
    <w:rsid w:val="004E7464"/>
    <w:rPr>
      <w:rFonts w:ascii="Times New Roman" w:eastAsia="仿宋_GB2312" w:hAnsi="Times New Roman" w:cs="Times New Roman"/>
      <w:sz w:val="20"/>
      <w:szCs w:val="20"/>
    </w:rPr>
  </w:style>
  <w:style w:type="paragraph" w:styleId="BodyText">
    <w:name w:val="Body Text"/>
    <w:basedOn w:val="Normal"/>
    <w:link w:val="BodyTextChar"/>
    <w:uiPriority w:val="99"/>
    <w:rsid w:val="004E7464"/>
    <w:pPr>
      <w:jc w:val="center"/>
    </w:pPr>
    <w:rPr>
      <w:rFonts w:ascii="方正舒体" w:eastAsia="仿宋_GB2312" w:hAnsi="Times New Roman" w:cs="方正舒体"/>
      <w:b/>
      <w:bCs/>
      <w:color w:val="FF0000"/>
      <w:spacing w:val="80"/>
      <w:sz w:val="96"/>
      <w:szCs w:val="96"/>
    </w:rPr>
  </w:style>
  <w:style w:type="character" w:customStyle="1" w:styleId="BodyTextChar">
    <w:name w:val="Body Text Char"/>
    <w:basedOn w:val="DefaultParagraphFont"/>
    <w:link w:val="BodyText"/>
    <w:uiPriority w:val="99"/>
    <w:locked/>
    <w:rsid w:val="004E7464"/>
    <w:rPr>
      <w:rFonts w:ascii="方正舒体" w:eastAsia="仿宋_GB2312" w:hAnsi="Times New Roman" w:cs="方正舒体"/>
      <w:b/>
      <w:bCs/>
      <w:color w:val="FF0000"/>
      <w:spacing w:val="80"/>
      <w:sz w:val="20"/>
      <w:szCs w:val="20"/>
    </w:rPr>
  </w:style>
  <w:style w:type="paragraph" w:customStyle="1" w:styleId="p0">
    <w:name w:val="p0"/>
    <w:basedOn w:val="Normal"/>
    <w:uiPriority w:val="99"/>
    <w:rsid w:val="004E7464"/>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Pages>
  <Words>347</Words>
  <Characters>1980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谢祎霖</dc:creator>
  <cp:keywords/>
  <dc:description/>
  <cp:lastModifiedBy>杨军</cp:lastModifiedBy>
  <cp:revision>2</cp:revision>
  <dcterms:created xsi:type="dcterms:W3CDTF">2015-10-29T11:34:00Z</dcterms:created>
  <dcterms:modified xsi:type="dcterms:W3CDTF">2018-01-03T07:11:00Z</dcterms:modified>
</cp:coreProperties>
</file>